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B4" w:rsidRPr="00B26503" w:rsidRDefault="004E72B4" w:rsidP="004E72B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556B1">
        <w:rPr>
          <w:rFonts w:ascii="Times New Roman" w:hAnsi="Times New Roman" w:cs="Times New Roman"/>
          <w:sz w:val="20"/>
          <w:szCs w:val="20"/>
          <w:lang w:val="en-US"/>
        </w:rPr>
        <w:t>Department of obstetrics and gynecology</w:t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  <w:t>GUIDELINES</w:t>
      </w:r>
      <w:r w:rsidR="00B26503" w:rsidRPr="00B26503">
        <w:rPr>
          <w:rFonts w:ascii="Times New Roman" w:hAnsi="Times New Roman" w:cs="Times New Roman"/>
          <w:sz w:val="20"/>
          <w:szCs w:val="20"/>
          <w:lang w:val="en-US"/>
        </w:rPr>
        <w:t xml:space="preserve"> 1</w:t>
      </w:r>
      <w:r w:rsidR="00B26503">
        <w:rPr>
          <w:rFonts w:ascii="Times New Roman" w:hAnsi="Times New Roman" w:cs="Times New Roman"/>
          <w:sz w:val="20"/>
          <w:szCs w:val="20"/>
          <w:lang w:val="en-US"/>
        </w:rPr>
        <w:t>:2</w:t>
      </w:r>
    </w:p>
    <w:p w:rsidR="00563BE8" w:rsidRDefault="004E72B4" w:rsidP="004E72B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556B1">
        <w:rPr>
          <w:rFonts w:ascii="Times New Roman" w:hAnsi="Times New Roman" w:cs="Times New Roman"/>
          <w:sz w:val="20"/>
          <w:szCs w:val="20"/>
          <w:lang w:val="en-US"/>
        </w:rPr>
        <w:t xml:space="preserve">MAS University </w:t>
      </w:r>
      <w:r w:rsidR="00563BE8">
        <w:rPr>
          <w:rFonts w:ascii="Times New Roman" w:hAnsi="Times New Roman" w:cs="Times New Roman"/>
          <w:sz w:val="20"/>
          <w:szCs w:val="20"/>
          <w:lang w:val="en-US"/>
        </w:rPr>
        <w:t>hospital</w:t>
      </w:r>
    </w:p>
    <w:p w:rsidR="004E72B4" w:rsidRPr="005556B1" w:rsidRDefault="00B20580" w:rsidP="004E72B4">
      <w:pPr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F378A2" wp14:editId="7367848A">
                <wp:simplePos x="0" y="0"/>
                <wp:positionH relativeFrom="column">
                  <wp:posOffset>76027</wp:posOffset>
                </wp:positionH>
                <wp:positionV relativeFrom="paragraph">
                  <wp:posOffset>220634</wp:posOffset>
                </wp:positionV>
                <wp:extent cx="6275705" cy="484909"/>
                <wp:effectExtent l="0" t="0" r="10795" b="1079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5705" cy="48490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6pt;margin-top:17.35pt;width:494.15pt;height:38.2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" fillcolor="#bfbfbf" strokecolor="#7f7f7f" strokeweight="2pt"/>
            </w:pict>
          </mc:Fallback>
        </mc:AlternateContent>
      </w:r>
      <w:r w:rsidR="004E72B4" w:rsidRPr="005556B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4947B8" w:rsidRPr="005556B1" w:rsidRDefault="00816EF2" w:rsidP="004947B8">
      <w:pPr>
        <w:ind w:left="360"/>
        <w:rPr>
          <w:rFonts w:ascii="Times New Roman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>M</w:t>
      </w:r>
      <w:r w:rsidR="004947B8" w:rsidRPr="005556B1">
        <w:rPr>
          <w:rFonts w:ascii="Times New Roman" w:hAnsi="Times New Roman" w:cs="Times New Roman"/>
          <w:b/>
          <w:sz w:val="32"/>
          <w:szCs w:val="24"/>
          <w:lang w:val="en-US"/>
        </w:rPr>
        <w:t xml:space="preserve">anagement of </w:t>
      </w:r>
      <w:r>
        <w:rPr>
          <w:rFonts w:ascii="Times New Roman" w:hAnsi="Times New Roman" w:cs="Times New Roman"/>
          <w:b/>
          <w:sz w:val="32"/>
          <w:szCs w:val="24"/>
          <w:lang w:val="en-US"/>
        </w:rPr>
        <w:t>pregnant women who are suspicious for IUGR</w:t>
      </w:r>
    </w:p>
    <w:p w:rsidR="00AC08AB" w:rsidRDefault="00AC08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F7541" w:rsidRPr="004C56EE" w:rsidRDefault="00A45EF5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If weight differs from expected for ≤-15%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or  </w:t>
      </w: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fetal</w:t>
      </w:r>
      <w:proofErr w:type="gramEnd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growth fall &gt;10%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registered in between two consecutive ultrasound measurements, one should contact Doppler</w:t>
      </w:r>
      <w:r w:rsidR="00BB7CFF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diagnostics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department for further </w:t>
      </w:r>
      <w:r w:rsidR="00BB7CFF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examination. Blood flow in placenta is to be studied with attention to the signs of increased vascular resistance. Investigation of blood flow in </w:t>
      </w:r>
      <w:proofErr w:type="spellStart"/>
      <w:r w:rsidR="00BB7CFF" w:rsidRPr="004C56EE">
        <w:rPr>
          <w:rFonts w:ascii="Times New Roman" w:hAnsi="Times New Roman" w:cs="Times New Roman"/>
          <w:b/>
          <w:sz w:val="24"/>
          <w:szCs w:val="24"/>
          <w:lang w:val="en-US"/>
        </w:rPr>
        <w:t>arteria</w:t>
      </w:r>
      <w:proofErr w:type="spellEnd"/>
      <w:r w:rsidR="00BB7CFF" w:rsidRPr="004C56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BB7CFF" w:rsidRPr="004C56EE">
        <w:rPr>
          <w:rFonts w:ascii="Times New Roman" w:hAnsi="Times New Roman" w:cs="Times New Roman"/>
          <w:b/>
          <w:sz w:val="24"/>
          <w:szCs w:val="24"/>
          <w:lang w:val="en-US"/>
        </w:rPr>
        <w:t>umbilicalis</w:t>
      </w:r>
      <w:proofErr w:type="spellEnd"/>
      <w:r w:rsidR="00BB7CFF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ha</w:t>
      </w:r>
      <w:r w:rsidR="00277ADE" w:rsidRPr="004C56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B7CFF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shown that the signs of increased vascular resistance are related with IUGR, </w:t>
      </w:r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preterm </w:t>
      </w:r>
      <w:proofErr w:type="spellStart"/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>labour</w:t>
      </w:r>
      <w:proofErr w:type="spellEnd"/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and emergency operations. </w:t>
      </w:r>
      <w:r w:rsidR="00EB09F8" w:rsidRPr="004C56EE">
        <w:rPr>
          <w:rFonts w:ascii="Times New Roman" w:hAnsi="Times New Roman" w:cs="Times New Roman"/>
          <w:b/>
          <w:sz w:val="24"/>
          <w:szCs w:val="24"/>
          <w:lang w:val="en-US"/>
        </w:rPr>
        <w:t>Blood flow classes (BFC)</w:t>
      </w:r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ranged from 0 to 3 </w:t>
      </w:r>
      <w:proofErr w:type="gramStart"/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gramEnd"/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being used for a long time to grade vascular resist</w:t>
      </w:r>
      <w:r w:rsidR="009433C5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ance at fetal side of placenta.  Delivery in patients with </w:t>
      </w:r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>BFC 2 and 3 are almost</w:t>
      </w:r>
      <w:r w:rsidR="00277ADE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always</w:t>
      </w:r>
      <w:r w:rsidR="00EB09F8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33C5" w:rsidRPr="004C56EE">
        <w:rPr>
          <w:rFonts w:ascii="Times New Roman" w:hAnsi="Times New Roman" w:cs="Times New Roman"/>
          <w:sz w:val="24"/>
          <w:szCs w:val="24"/>
          <w:lang w:val="en-US"/>
        </w:rPr>
        <w:t>performed by cesarean section.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433C5" w:rsidRPr="004C56EE" w:rsidRDefault="009433C5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Besides examination of blood flow in </w:t>
      </w:r>
      <w:proofErr w:type="spellStart"/>
      <w:r w:rsidRPr="004C56EE">
        <w:rPr>
          <w:rFonts w:ascii="Times New Roman" w:hAnsi="Times New Roman" w:cs="Times New Roman"/>
          <w:sz w:val="24"/>
          <w:szCs w:val="24"/>
          <w:lang w:val="en-US"/>
        </w:rPr>
        <w:t>arteria</w:t>
      </w:r>
      <w:proofErr w:type="spell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56EE">
        <w:rPr>
          <w:rFonts w:ascii="Times New Roman" w:hAnsi="Times New Roman" w:cs="Times New Roman"/>
          <w:sz w:val="24"/>
          <w:szCs w:val="24"/>
          <w:lang w:val="en-US"/>
        </w:rPr>
        <w:t>umbilicalis</w:t>
      </w:r>
      <w:proofErr w:type="spell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, one should examine also blood flow in </w:t>
      </w:r>
      <w:proofErr w:type="spellStart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arteria</w:t>
      </w:r>
      <w:proofErr w:type="spellEnd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uterina</w:t>
      </w:r>
      <w:proofErr w:type="spell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04408" w:rsidRPr="004C56EE">
        <w:rPr>
          <w:rFonts w:ascii="Times New Roman" w:hAnsi="Times New Roman" w:cs="Times New Roman"/>
          <w:sz w:val="24"/>
          <w:szCs w:val="24"/>
          <w:lang w:val="en-US"/>
        </w:rPr>
        <w:t>Increased vascular resistance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04408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is reflected in increased pulse index (PI&gt;1.20) or as a “notch” in the beginning of diastole. </w:t>
      </w:r>
      <w:r w:rsidR="000F5640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Resistance in </w:t>
      </w:r>
      <w:proofErr w:type="spellStart"/>
      <w:r w:rsidR="000F5640" w:rsidRPr="004C56EE">
        <w:rPr>
          <w:rFonts w:ascii="Times New Roman" w:hAnsi="Times New Roman" w:cs="Times New Roman"/>
          <w:sz w:val="24"/>
          <w:szCs w:val="24"/>
          <w:lang w:val="en-US"/>
        </w:rPr>
        <w:t>arteria</w:t>
      </w:r>
      <w:proofErr w:type="spellEnd"/>
      <w:r w:rsidR="000F5640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F5640" w:rsidRPr="004C56EE">
        <w:rPr>
          <w:rFonts w:ascii="Times New Roman" w:hAnsi="Times New Roman" w:cs="Times New Roman"/>
          <w:sz w:val="24"/>
          <w:szCs w:val="24"/>
          <w:lang w:val="en-US"/>
        </w:rPr>
        <w:t>uterina</w:t>
      </w:r>
      <w:proofErr w:type="spellEnd"/>
      <w:r w:rsidR="000F5640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can be classified according to so-called</w:t>
      </w:r>
      <w:r w:rsidR="00204408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5640" w:rsidRPr="004C56EE">
        <w:rPr>
          <w:rFonts w:ascii="Times New Roman" w:hAnsi="Times New Roman" w:cs="Times New Roman"/>
          <w:b/>
          <w:sz w:val="24"/>
          <w:szCs w:val="24"/>
          <w:lang w:val="en-US"/>
        </w:rPr>
        <w:t>uterine arterial score (UAS)</w:t>
      </w:r>
      <w:r w:rsidR="000F5640" w:rsidRPr="004C56E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425A3" w:rsidRPr="004C56EE" w:rsidRDefault="003425A3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25A3" w:rsidRPr="004C56EE" w:rsidRDefault="003425A3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0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>normal uterine-arterial blood flow in both vessels</w:t>
      </w:r>
    </w:p>
    <w:p w:rsidR="003425A3" w:rsidRPr="004C56EE" w:rsidRDefault="003425A3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1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one abnormal parameter in one vessel (PI &gt;1.2 or </w:t>
      </w:r>
      <w:r w:rsidR="005C17FC" w:rsidRPr="004C56EE">
        <w:rPr>
          <w:rFonts w:ascii="Times New Roman" w:hAnsi="Times New Roman" w:cs="Times New Roman"/>
          <w:sz w:val="24"/>
          <w:szCs w:val="24"/>
          <w:lang w:val="en-US"/>
        </w:rPr>
        <w:t>notch)</w:t>
      </w:r>
    </w:p>
    <w:p w:rsidR="005C17FC" w:rsidRPr="004C56EE" w:rsidRDefault="005C17FC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2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>two abnormal parameters</w:t>
      </w:r>
    </w:p>
    <w:p w:rsidR="005C17FC" w:rsidRPr="004C56EE" w:rsidRDefault="005C17FC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3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>three abnormal parameters</w:t>
      </w:r>
    </w:p>
    <w:p w:rsidR="005C17FC" w:rsidRPr="004C56EE" w:rsidRDefault="005C17FC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4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2123F0" w:rsidRPr="002123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>increased PI (&gt;1.2) and presence of notch in both vessels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77ADE" w:rsidRPr="004C56EE" w:rsidRDefault="00277AD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Investigation has shown that the signs of increased vascular resistance are related with IUGR, preterm </w:t>
      </w:r>
      <w:r w:rsidR="00B56493" w:rsidRPr="004C56EE">
        <w:rPr>
          <w:rFonts w:ascii="Times New Roman" w:hAnsi="Times New Roman" w:cs="Times New Roman"/>
          <w:sz w:val="24"/>
          <w:szCs w:val="24"/>
          <w:lang w:val="en-US"/>
        </w:rPr>
        <w:t>labor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and emergency operations. Delivery in patients with UAC 3 and 4 are almost always performed by cesarean section.</w:t>
      </w:r>
    </w:p>
    <w:p w:rsidR="00071402" w:rsidRPr="004C56EE" w:rsidRDefault="00071402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1402" w:rsidRPr="004C56EE" w:rsidRDefault="00071402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Further examination of placental blood flow:</w:t>
      </w:r>
    </w:p>
    <w:p w:rsidR="00071402" w:rsidRPr="004C56EE" w:rsidRDefault="00071402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71402" w:rsidRPr="004C56EE" w:rsidRDefault="00071402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Weight deviation without blood flow alterations (BFC and UAS 0)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6493" w:rsidRPr="004C56EE" w:rsidRDefault="0078223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-15%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up to </w:t>
      </w: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-21%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>and normal flow in uterus. No further control, just at</w:t>
      </w:r>
      <w:r w:rsidR="00B56493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ordinary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antenatal out-patient </w:t>
      </w:r>
    </w:p>
    <w:p w:rsidR="00071402" w:rsidRPr="004C56EE" w:rsidRDefault="00B56493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78223E" w:rsidRPr="004C56EE">
        <w:rPr>
          <w:rFonts w:ascii="Times New Roman" w:hAnsi="Times New Roman" w:cs="Times New Roman"/>
          <w:sz w:val="24"/>
          <w:szCs w:val="24"/>
          <w:lang w:val="en-US"/>
        </w:rPr>
        <w:t>clinic</w:t>
      </w:r>
      <w:proofErr w:type="gramEnd"/>
      <w:r w:rsidR="0078223E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223E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ultrasound examination at 37 weeks of gestation 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8223E" w:rsidRPr="004C56EE" w:rsidRDefault="0078223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-22%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up to </w:t>
      </w: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-27%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 xml:space="preserve">blood flow + CTG + ultrasound + </w:t>
      </w:r>
      <w:r w:rsidR="00B56493" w:rsidRPr="004C56EE">
        <w:rPr>
          <w:rFonts w:ascii="Times New Roman" w:hAnsi="Times New Roman" w:cs="Times New Roman"/>
          <w:sz w:val="24"/>
          <w:szCs w:val="24"/>
          <w:lang w:val="en-US"/>
        </w:rPr>
        <w:t>high-risk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antenatal out-patient clinic (visit to a </w:t>
      </w:r>
    </w:p>
    <w:p w:rsidR="0078223E" w:rsidRPr="004C56EE" w:rsidRDefault="0078223E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doctor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>) once in two weeks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516" w:rsidRPr="004C56EE" w:rsidRDefault="0078223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-28%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up to </w:t>
      </w: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-33%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 xml:space="preserve">blood flow + CTG + </w:t>
      </w:r>
      <w:r w:rsidR="00B56493" w:rsidRPr="004C56EE">
        <w:rPr>
          <w:rFonts w:ascii="Times New Roman" w:hAnsi="Times New Roman" w:cs="Times New Roman"/>
          <w:sz w:val="24"/>
          <w:szCs w:val="24"/>
          <w:lang w:val="en-US"/>
        </w:rPr>
        <w:t>high-risk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antenatal out-patient clinic</w:t>
      </w:r>
      <w:r w:rsidR="00FF6516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every week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(visit to a </w:t>
      </w:r>
    </w:p>
    <w:p w:rsidR="00FF6516" w:rsidRPr="004C56EE" w:rsidRDefault="00FF6516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8223E" w:rsidRPr="004C56EE">
        <w:rPr>
          <w:rFonts w:ascii="Times New Roman" w:hAnsi="Times New Roman" w:cs="Times New Roman"/>
          <w:sz w:val="24"/>
          <w:szCs w:val="24"/>
          <w:lang w:val="en-US"/>
        </w:rPr>
        <w:t>octor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once in two weeks and visit to midwife once in two weeks</w:t>
      </w:r>
      <w:r w:rsidR="0078223E" w:rsidRPr="004C56E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; ultrasound </w:t>
      </w:r>
    </w:p>
    <w:p w:rsidR="0078223E" w:rsidRPr="004C56EE" w:rsidRDefault="00FF6516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examination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once in two weeks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B58E0" w:rsidRPr="004C56EE" w:rsidRDefault="00FF6516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≤-34%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>Individual patient management; chromosomal and infection analysis</w:t>
      </w:r>
      <w:r w:rsidR="006B58E0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; thorough </w:t>
      </w:r>
    </w:p>
    <w:p w:rsidR="006B58E0" w:rsidRPr="004C56EE" w:rsidRDefault="006B58E0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screening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of organs; blood flow examination minimum two times a week; CTG </w:t>
      </w:r>
    </w:p>
    <w:p w:rsidR="00FF6516" w:rsidRPr="004C56EE" w:rsidRDefault="006B58E0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minimum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two times a week; ultrasound examination once in two weeks</w:t>
      </w:r>
    </w:p>
    <w:p w:rsidR="006B58E0" w:rsidRDefault="006B58E0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6EE" w:rsidRPr="004C56EE" w:rsidRDefault="004C56E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951F1" w:rsidRPr="004C56EE" w:rsidRDefault="006B58E0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WITH BLOOD FLOW ALTERATIONS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B58E0" w:rsidRPr="004C56EE" w:rsidRDefault="006B58E0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Arteria</w:t>
      </w:r>
      <w:proofErr w:type="spellEnd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umbilicalis</w:t>
      </w:r>
      <w:proofErr w:type="spellEnd"/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56493" w:rsidRPr="004C56EE" w:rsidRDefault="005970C3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BFC 1</w:t>
      </w: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 xml:space="preserve">Blood flow examination + CTG </w:t>
      </w:r>
      <w:r w:rsidR="00B56493" w:rsidRPr="004C56EE">
        <w:rPr>
          <w:rFonts w:ascii="Times New Roman" w:hAnsi="Times New Roman" w:cs="Times New Roman"/>
          <w:sz w:val="24"/>
          <w:szCs w:val="24"/>
          <w:lang w:val="en-US"/>
        </w:rPr>
        <w:t>2 times a week; specialized high-risk consultation</w:t>
      </w:r>
    </w:p>
    <w:p w:rsidR="00B56493" w:rsidRPr="004C56EE" w:rsidRDefault="00B56493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visit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to a doctor) every week + midwife every week; ultrasound examination once</w:t>
      </w:r>
    </w:p>
    <w:p w:rsidR="00B56493" w:rsidRPr="004C56EE" w:rsidRDefault="00B56493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two weeks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77F5" w:rsidRPr="004C56EE" w:rsidRDefault="002177F5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BFC 2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Blood flow examination + CTG 3 times a week; specialized high-risk consultation </w:t>
      </w:r>
    </w:p>
    <w:p w:rsidR="002177F5" w:rsidRPr="004C56EE" w:rsidRDefault="002177F5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3 times per week (visit to a doctor every week + midwife two times a week); </w:t>
      </w:r>
    </w:p>
    <w:p w:rsidR="002177F5" w:rsidRPr="004C56EE" w:rsidRDefault="002177F5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ultrasound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examination once in two weeks; consider admission to a hospital; &lt; 34 </w:t>
      </w:r>
    </w:p>
    <w:p w:rsidR="002177F5" w:rsidRPr="004C56EE" w:rsidRDefault="002177F5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weeks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steroid prescription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85E25" w:rsidRPr="004C56EE" w:rsidRDefault="002177F5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BFC 3A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 xml:space="preserve">Admission to a hospital; </w:t>
      </w:r>
      <w:r w:rsidR="00685E25" w:rsidRPr="004C56EE">
        <w:rPr>
          <w:rFonts w:ascii="Times New Roman" w:hAnsi="Times New Roman" w:cs="Times New Roman"/>
          <w:sz w:val="24"/>
          <w:szCs w:val="24"/>
          <w:lang w:val="en-US"/>
        </w:rPr>
        <w:t>serious consideration about cesarean section (direct</w:t>
      </w:r>
    </w:p>
    <w:p w:rsidR="00685E25" w:rsidRPr="004C56EE" w:rsidRDefault="00685E25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indication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if pulsation in v. </w:t>
      </w:r>
      <w:proofErr w:type="spellStart"/>
      <w:r w:rsidRPr="004C56EE">
        <w:rPr>
          <w:rFonts w:ascii="Times New Roman" w:hAnsi="Times New Roman" w:cs="Times New Roman"/>
          <w:sz w:val="24"/>
          <w:szCs w:val="24"/>
          <w:lang w:val="en-US"/>
        </w:rPr>
        <w:t>umbilicalis</w:t>
      </w:r>
      <w:proofErr w:type="spell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); consultation with neonatal specialist;  &lt; 34 </w:t>
      </w:r>
    </w:p>
    <w:p w:rsidR="00685E25" w:rsidRPr="004C56EE" w:rsidRDefault="00685E25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weeks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steroid prescription; CTG 2 times a day. Schedule elective cesarean section</w:t>
      </w:r>
    </w:p>
    <w:p w:rsidR="00555F51" w:rsidRPr="004C56EE" w:rsidRDefault="00685E25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with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worsening of clinical situation (</w:t>
      </w:r>
      <w:r w:rsidR="00555F51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absence of growth, </w:t>
      </w:r>
      <w:proofErr w:type="spellStart"/>
      <w:r w:rsidR="00555F51" w:rsidRPr="004C56EE">
        <w:rPr>
          <w:rFonts w:ascii="Times New Roman" w:hAnsi="Times New Roman" w:cs="Times New Roman"/>
          <w:sz w:val="24"/>
          <w:szCs w:val="24"/>
          <w:lang w:val="en-US"/>
        </w:rPr>
        <w:t>oligohydramnios</w:t>
      </w:r>
      <w:proofErr w:type="spellEnd"/>
      <w:r w:rsidR="00555F51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or serious </w:t>
      </w:r>
    </w:p>
    <w:p w:rsidR="00685E25" w:rsidRPr="004C56EE" w:rsidRDefault="00555F51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preeclampsy</w:t>
      </w:r>
      <w:proofErr w:type="spellEnd"/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55F51" w:rsidRPr="004C56EE" w:rsidRDefault="00555F51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BFC 3B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>Ces</w:t>
      </w:r>
      <w:r w:rsidR="00CE7A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rean section the same day (disregarding of gestational age); CTG continuously </w:t>
      </w:r>
    </w:p>
    <w:p w:rsidR="00555F51" w:rsidRPr="004C56EE" w:rsidRDefault="00AD3E6C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while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waiting</w:t>
      </w:r>
      <w:r w:rsidR="00555F51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for operation. Before 28 gestational weeks prescribe steroids</w:t>
      </w:r>
      <w:r w:rsidR="004C56EE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while</w:t>
      </w:r>
    </w:p>
    <w:p w:rsidR="00555F51" w:rsidRPr="004C56EE" w:rsidRDefault="00AD3E6C" w:rsidP="004C56EE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waiting</w:t>
      </w:r>
      <w:proofErr w:type="gramEnd"/>
      <w:r w:rsidR="00555F51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for</w:t>
      </w:r>
      <w:bookmarkStart w:id="0" w:name="_GoBack"/>
      <w:bookmarkEnd w:id="0"/>
      <w:r w:rsidR="00555F51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operation</w:t>
      </w:r>
    </w:p>
    <w:p w:rsidR="00AD3E6C" w:rsidRDefault="00AD3E6C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56EE" w:rsidRPr="004C56EE" w:rsidRDefault="004C56EE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D3E6C" w:rsidRPr="004C56EE" w:rsidRDefault="00AD3E6C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With normal BFC – examination of </w:t>
      </w:r>
      <w:proofErr w:type="spellStart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arteria</w:t>
      </w:r>
      <w:proofErr w:type="spellEnd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uterina</w:t>
      </w:r>
      <w:proofErr w:type="spellEnd"/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3E6C" w:rsidRPr="004C56EE" w:rsidRDefault="00AD3E6C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1-2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 xml:space="preserve">with normal blood flow (BFC 0 and UAS 0), but examination for weight deviation (see </w:t>
      </w:r>
    </w:p>
    <w:p w:rsidR="00AD3E6C" w:rsidRPr="004C56EE" w:rsidRDefault="00AD3E6C" w:rsidP="004C56EE">
      <w:pPr>
        <w:pStyle w:val="a6"/>
        <w:ind w:left="141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above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3E6C" w:rsidRPr="004C56EE" w:rsidRDefault="00AD3E6C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3</w:t>
      </w:r>
      <w:r w:rsidR="004C56E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  <w:t>Blood flow examination + CTG + specialized high-risk consultation every week</w:t>
      </w:r>
    </w:p>
    <w:p w:rsidR="00AD3E6C" w:rsidRPr="004C56EE" w:rsidRDefault="00AD3E6C" w:rsidP="004C56EE">
      <w:pPr>
        <w:pStyle w:val="a6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every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second visit to midwife); ultrasound examination once in two weeks</w:t>
      </w:r>
    </w:p>
    <w:p w:rsidR="004C56EE" w:rsidRDefault="004C56EE" w:rsidP="004C56EE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3E6C" w:rsidRPr="004C56EE" w:rsidRDefault="00AD3E6C" w:rsidP="004C56EE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b/>
          <w:sz w:val="24"/>
          <w:szCs w:val="24"/>
          <w:lang w:val="en-US"/>
        </w:rPr>
        <w:t>UAS 4</w:t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C56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Blood flow examination + CTG + specialized high-risk </w:t>
      </w: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consultation  two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times a week</w:t>
      </w:r>
    </w:p>
    <w:p w:rsidR="00E31C2D" w:rsidRPr="004C56EE" w:rsidRDefault="00AD3E6C" w:rsidP="004C56EE">
      <w:pPr>
        <w:pStyle w:val="a6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4C56EE">
        <w:rPr>
          <w:rFonts w:ascii="Times New Roman" w:hAnsi="Times New Roman" w:cs="Times New Roman"/>
          <w:sz w:val="24"/>
          <w:szCs w:val="24"/>
          <w:lang w:val="en-US"/>
        </w:rPr>
        <w:t>every</w:t>
      </w:r>
      <w:proofErr w:type="gram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second visit to midwife); ultrasound examination once in two weeks</w:t>
      </w:r>
      <w:r w:rsidR="00E31C2D"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E31C2D" w:rsidRPr="004C56EE" w:rsidRDefault="00E31C2D" w:rsidP="004C56EE">
      <w:pPr>
        <w:pStyle w:val="a6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Schedule elective cesarean section with worsening of clinical situation (absence of </w:t>
      </w:r>
    </w:p>
    <w:p w:rsidR="00E31C2D" w:rsidRPr="004C56EE" w:rsidRDefault="00E31C2D" w:rsidP="004C56EE">
      <w:pPr>
        <w:pStyle w:val="a6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growth, </w:t>
      </w:r>
      <w:proofErr w:type="spellStart"/>
      <w:r w:rsidRPr="004C56EE">
        <w:rPr>
          <w:rFonts w:ascii="Times New Roman" w:hAnsi="Times New Roman" w:cs="Times New Roman"/>
          <w:sz w:val="24"/>
          <w:szCs w:val="24"/>
          <w:lang w:val="en-US"/>
        </w:rPr>
        <w:t>oligohydramnios</w:t>
      </w:r>
      <w:proofErr w:type="spellEnd"/>
      <w:r w:rsidRPr="004C56EE">
        <w:rPr>
          <w:rFonts w:ascii="Times New Roman" w:hAnsi="Times New Roman" w:cs="Times New Roman"/>
          <w:sz w:val="24"/>
          <w:szCs w:val="24"/>
          <w:lang w:val="en-US"/>
        </w:rPr>
        <w:t xml:space="preserve"> or serious </w:t>
      </w:r>
      <w:proofErr w:type="spellStart"/>
      <w:r w:rsidRPr="004C56EE">
        <w:rPr>
          <w:rFonts w:ascii="Times New Roman" w:hAnsi="Times New Roman" w:cs="Times New Roman"/>
          <w:sz w:val="24"/>
          <w:szCs w:val="24"/>
          <w:lang w:val="en-US"/>
        </w:rPr>
        <w:t>preeclampsy</w:t>
      </w:r>
      <w:proofErr w:type="spellEnd"/>
      <w:r w:rsidRPr="004C56E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sectPr w:rsidR="00E31C2D" w:rsidRPr="004C56EE" w:rsidSect="00563BE8">
      <w:pgSz w:w="11906" w:h="16838"/>
      <w:pgMar w:top="709" w:right="70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597B"/>
    <w:multiLevelType w:val="hybridMultilevel"/>
    <w:tmpl w:val="EFC04F72"/>
    <w:lvl w:ilvl="0" w:tplc="3D126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51"/>
    <w:rsid w:val="00066D23"/>
    <w:rsid w:val="00071402"/>
    <w:rsid w:val="000D0ACB"/>
    <w:rsid w:val="000F17CC"/>
    <w:rsid w:val="000F2C31"/>
    <w:rsid w:val="000F5640"/>
    <w:rsid w:val="00204408"/>
    <w:rsid w:val="002123F0"/>
    <w:rsid w:val="002177F5"/>
    <w:rsid w:val="00222649"/>
    <w:rsid w:val="0027145F"/>
    <w:rsid w:val="00277ADE"/>
    <w:rsid w:val="0029653E"/>
    <w:rsid w:val="003425A3"/>
    <w:rsid w:val="00472C31"/>
    <w:rsid w:val="00487B54"/>
    <w:rsid w:val="004947B8"/>
    <w:rsid w:val="004951F1"/>
    <w:rsid w:val="004C1D32"/>
    <w:rsid w:val="004C56EE"/>
    <w:rsid w:val="004E5F55"/>
    <w:rsid w:val="004E61C3"/>
    <w:rsid w:val="004E72B4"/>
    <w:rsid w:val="004F7541"/>
    <w:rsid w:val="005556B1"/>
    <w:rsid w:val="00555F51"/>
    <w:rsid w:val="00563BE8"/>
    <w:rsid w:val="005970C3"/>
    <w:rsid w:val="005C17FC"/>
    <w:rsid w:val="005F4715"/>
    <w:rsid w:val="00685E25"/>
    <w:rsid w:val="00687F50"/>
    <w:rsid w:val="006B58E0"/>
    <w:rsid w:val="006C3AFF"/>
    <w:rsid w:val="007330D8"/>
    <w:rsid w:val="0078223E"/>
    <w:rsid w:val="007C680B"/>
    <w:rsid w:val="00816EF2"/>
    <w:rsid w:val="00890C1D"/>
    <w:rsid w:val="008912C5"/>
    <w:rsid w:val="009433C5"/>
    <w:rsid w:val="00A45EF5"/>
    <w:rsid w:val="00A93A7A"/>
    <w:rsid w:val="00AC08AB"/>
    <w:rsid w:val="00AD3E6C"/>
    <w:rsid w:val="00B20580"/>
    <w:rsid w:val="00B26503"/>
    <w:rsid w:val="00B56493"/>
    <w:rsid w:val="00BB7CFF"/>
    <w:rsid w:val="00CE7A7B"/>
    <w:rsid w:val="00CF6451"/>
    <w:rsid w:val="00D251EC"/>
    <w:rsid w:val="00E31C2D"/>
    <w:rsid w:val="00E64FB6"/>
    <w:rsid w:val="00EB09F8"/>
    <w:rsid w:val="00EC7C2A"/>
    <w:rsid w:val="00EF1A74"/>
    <w:rsid w:val="00F41579"/>
    <w:rsid w:val="00F94A0D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7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BE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C56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7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BE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C5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11</cp:revision>
  <dcterms:created xsi:type="dcterms:W3CDTF">2013-09-01T15:34:00Z</dcterms:created>
  <dcterms:modified xsi:type="dcterms:W3CDTF">2013-10-25T19:17:00Z</dcterms:modified>
</cp:coreProperties>
</file>